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DB" w:rsidRPr="00983DDB" w:rsidRDefault="00983DDB" w:rsidP="00983DD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31F20"/>
          <w:sz w:val="24"/>
          <w:szCs w:val="24"/>
        </w:rPr>
      </w:pPr>
      <w:r w:rsidRPr="00983DDB">
        <w:rPr>
          <w:rFonts w:ascii="Arial" w:hAnsi="Arial" w:cs="Arial"/>
          <w:color w:val="231F20"/>
          <w:sz w:val="24"/>
          <w:szCs w:val="24"/>
        </w:rPr>
        <w:t xml:space="preserve">In </w:t>
      </w:r>
      <w:r w:rsidRPr="00983DDB">
        <w:rPr>
          <w:rFonts w:ascii="Arial" w:hAnsi="Arial" w:cs="Arial"/>
          <w:b/>
          <w:color w:val="231F20"/>
          <w:sz w:val="24"/>
          <w:szCs w:val="24"/>
        </w:rPr>
        <w:t>section 111A</w:t>
      </w:r>
      <w:r w:rsidRPr="00983DDB">
        <w:rPr>
          <w:rFonts w:ascii="Arial" w:hAnsi="Arial" w:cs="Arial"/>
          <w:color w:val="231F20"/>
          <w:sz w:val="24"/>
          <w:szCs w:val="24"/>
        </w:rPr>
        <w:t xml:space="preserve"> of the Income-tax Act, </w:t>
      </w:r>
      <w:r w:rsidRPr="00983DDB">
        <w:rPr>
          <w:rFonts w:ascii="Arial" w:hAnsi="Arial" w:cs="Arial"/>
          <w:color w:val="231F20"/>
          <w:sz w:val="24"/>
          <w:szCs w:val="24"/>
          <w:u w:val="single"/>
        </w:rPr>
        <w:t>in sub-section (</w:t>
      </w:r>
      <w:r w:rsidRPr="00983DDB">
        <w:rPr>
          <w:rFonts w:ascii="Arial" w:hAnsi="Arial" w:cs="Arial"/>
          <w:i/>
          <w:iCs/>
          <w:color w:val="231F20"/>
          <w:sz w:val="24"/>
          <w:szCs w:val="24"/>
          <w:u w:val="single"/>
        </w:rPr>
        <w:t>1</w:t>
      </w:r>
      <w:r w:rsidRPr="00983DDB">
        <w:rPr>
          <w:rFonts w:ascii="Arial" w:hAnsi="Arial" w:cs="Arial"/>
          <w:color w:val="231F20"/>
          <w:sz w:val="24"/>
          <w:szCs w:val="24"/>
          <w:u w:val="single"/>
        </w:rPr>
        <w:t>)</w:t>
      </w:r>
      <w:r w:rsidRPr="00983DDB">
        <w:rPr>
          <w:rFonts w:ascii="Arial" w:hAnsi="Arial" w:cs="Arial"/>
          <w:color w:val="231F20"/>
          <w:sz w:val="24"/>
          <w:szCs w:val="24"/>
        </w:rPr>
        <w:t xml:space="preserve">, with effect from the </w:t>
      </w:r>
      <w:r w:rsidRPr="00983DDB">
        <w:rPr>
          <w:rFonts w:ascii="Arial" w:hAnsi="Arial" w:cs="Arial"/>
          <w:b/>
          <w:color w:val="231F20"/>
          <w:sz w:val="24"/>
          <w:szCs w:val="24"/>
        </w:rPr>
        <w:t>1st day of</w:t>
      </w:r>
      <w:r>
        <w:rPr>
          <w:rFonts w:ascii="Arial" w:hAnsi="Arial" w:cs="Arial"/>
          <w:b/>
          <w:color w:val="231F20"/>
          <w:sz w:val="24"/>
          <w:szCs w:val="24"/>
        </w:rPr>
        <w:t xml:space="preserve"> </w:t>
      </w:r>
      <w:r w:rsidRPr="00983DDB">
        <w:rPr>
          <w:rFonts w:ascii="Arial" w:hAnsi="Arial" w:cs="Arial"/>
          <w:b/>
          <w:color w:val="231F20"/>
          <w:sz w:val="24"/>
          <w:szCs w:val="24"/>
        </w:rPr>
        <w:t>April, 2015</w:t>
      </w:r>
      <w:r w:rsidRPr="00983DDB">
        <w:rPr>
          <w:rFonts w:ascii="Arial" w:hAnsi="Arial" w:cs="Arial"/>
          <w:color w:val="231F20"/>
          <w:sz w:val="24"/>
          <w:szCs w:val="24"/>
        </w:rPr>
        <w:t>,––</w:t>
      </w:r>
    </w:p>
    <w:p w:rsidR="00983DDB" w:rsidRPr="00983DDB" w:rsidRDefault="00983DDB" w:rsidP="00983DD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983DDB" w:rsidRDefault="00983DDB" w:rsidP="00983D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983DDB">
        <w:rPr>
          <w:rFonts w:ascii="Arial" w:hAnsi="Arial" w:cs="Arial"/>
          <w:color w:val="231F20"/>
          <w:sz w:val="24"/>
          <w:szCs w:val="24"/>
        </w:rPr>
        <w:t>after the words “unit of an equity oriented fund”, the words “</w:t>
      </w:r>
      <w:r w:rsidRPr="00983DDB">
        <w:rPr>
          <w:rFonts w:ascii="Arial" w:hAnsi="Arial" w:cs="Arial"/>
          <w:b/>
          <w:color w:val="231F20"/>
          <w:sz w:val="24"/>
          <w:szCs w:val="24"/>
        </w:rPr>
        <w:t>or a unit of a business trust</w:t>
      </w:r>
      <w:r w:rsidRPr="00983DDB">
        <w:rPr>
          <w:rFonts w:ascii="Arial" w:hAnsi="Arial" w:cs="Arial"/>
          <w:color w:val="231F20"/>
          <w:sz w:val="24"/>
          <w:szCs w:val="24"/>
        </w:rPr>
        <w:t>” shall be inserted;</w:t>
      </w:r>
    </w:p>
    <w:p w:rsidR="00983DDB" w:rsidRPr="00983DDB" w:rsidRDefault="00983DDB" w:rsidP="00983D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983DDB">
        <w:rPr>
          <w:rFonts w:ascii="Arial" w:hAnsi="Arial" w:cs="Arial"/>
          <w:color w:val="231F20"/>
          <w:sz w:val="24"/>
          <w:szCs w:val="24"/>
        </w:rPr>
        <w:t>after the proviso, the following proviso shall be inserted, namely:––</w:t>
      </w:r>
    </w:p>
    <w:p w:rsidR="00983DDB" w:rsidRPr="00983DDB" w:rsidRDefault="00983DDB" w:rsidP="00983DDB">
      <w:pPr>
        <w:pStyle w:val="ListParagraph"/>
        <w:autoSpaceDE w:val="0"/>
        <w:autoSpaceDN w:val="0"/>
        <w:adjustRightInd w:val="0"/>
        <w:spacing w:after="0" w:line="240" w:lineRule="auto"/>
        <w:ind w:left="735"/>
        <w:jc w:val="both"/>
        <w:rPr>
          <w:rFonts w:ascii="Arial" w:hAnsi="Arial" w:cs="Arial"/>
          <w:color w:val="231F20"/>
          <w:sz w:val="24"/>
          <w:szCs w:val="24"/>
        </w:rPr>
      </w:pPr>
      <w:r w:rsidRPr="00983DDB">
        <w:rPr>
          <w:rFonts w:ascii="Arial" w:hAnsi="Arial" w:cs="Arial"/>
          <w:color w:val="231F20"/>
          <w:sz w:val="24"/>
          <w:szCs w:val="24"/>
        </w:rPr>
        <w:t xml:space="preserve">“Provided further that the provisions of </w:t>
      </w:r>
      <w:r w:rsidRPr="00983DDB">
        <w:rPr>
          <w:rFonts w:ascii="Arial" w:hAnsi="Arial" w:cs="Arial"/>
          <w:color w:val="231F20"/>
          <w:sz w:val="24"/>
          <w:szCs w:val="24"/>
          <w:u w:val="single"/>
        </w:rPr>
        <w:t>this sub-section shall not apply</w:t>
      </w:r>
      <w:r w:rsidRPr="00983DDB">
        <w:rPr>
          <w:rFonts w:ascii="Arial" w:hAnsi="Arial" w:cs="Arial"/>
          <w:color w:val="231F20"/>
          <w:sz w:val="24"/>
          <w:szCs w:val="24"/>
        </w:rPr>
        <w:t xml:space="preserve"> in respect of any </w:t>
      </w:r>
      <w:r w:rsidRPr="00983DDB">
        <w:rPr>
          <w:rFonts w:ascii="Arial" w:hAnsi="Arial" w:cs="Arial"/>
          <w:color w:val="231F20"/>
          <w:sz w:val="24"/>
          <w:szCs w:val="24"/>
          <w:u w:val="single"/>
        </w:rPr>
        <w:t>income arising from transfer of units of a business trust</w:t>
      </w:r>
      <w:r w:rsidRPr="00983DDB">
        <w:rPr>
          <w:rFonts w:ascii="Arial" w:hAnsi="Arial" w:cs="Arial"/>
          <w:color w:val="231F20"/>
          <w:sz w:val="24"/>
          <w:szCs w:val="24"/>
        </w:rPr>
        <w:t xml:space="preserve"> which were acquired by the </w:t>
      </w:r>
      <w:proofErr w:type="spellStart"/>
      <w:r w:rsidRPr="00983DDB">
        <w:rPr>
          <w:rFonts w:ascii="Arial" w:hAnsi="Arial" w:cs="Arial"/>
          <w:color w:val="231F20"/>
          <w:sz w:val="24"/>
          <w:szCs w:val="24"/>
        </w:rPr>
        <w:t>assessee</w:t>
      </w:r>
      <w:proofErr w:type="spellEnd"/>
      <w:r w:rsidRPr="00983DDB">
        <w:rPr>
          <w:rFonts w:ascii="Arial" w:hAnsi="Arial" w:cs="Arial"/>
          <w:color w:val="231F20"/>
          <w:sz w:val="24"/>
          <w:szCs w:val="24"/>
        </w:rPr>
        <w:t xml:space="preserve"> in consideration of a transfer as referred to in clause (</w:t>
      </w:r>
      <w:r w:rsidRPr="00983DDB">
        <w:rPr>
          <w:rFonts w:ascii="Arial" w:hAnsi="Arial" w:cs="Arial"/>
          <w:i/>
          <w:iCs/>
          <w:color w:val="231F20"/>
          <w:sz w:val="24"/>
          <w:szCs w:val="24"/>
        </w:rPr>
        <w:t>xvii</w:t>
      </w:r>
      <w:r w:rsidRPr="00983DDB">
        <w:rPr>
          <w:rFonts w:ascii="Arial" w:hAnsi="Arial" w:cs="Arial"/>
          <w:color w:val="231F20"/>
          <w:sz w:val="24"/>
          <w:szCs w:val="24"/>
        </w:rPr>
        <w:t>) of section 47.</w:t>
      </w:r>
      <w:proofErr w:type="gramStart"/>
      <w:r w:rsidRPr="00983DDB">
        <w:rPr>
          <w:rFonts w:ascii="Arial" w:hAnsi="Arial" w:cs="Arial"/>
          <w:color w:val="231F20"/>
          <w:sz w:val="24"/>
          <w:szCs w:val="24"/>
        </w:rPr>
        <w:t>”.</w:t>
      </w:r>
      <w:proofErr w:type="gramEnd"/>
    </w:p>
    <w:p w:rsidR="00983DDB" w:rsidRPr="00983DDB" w:rsidRDefault="00983DDB" w:rsidP="00983DDB">
      <w:pPr>
        <w:pStyle w:val="ListParagraph"/>
        <w:autoSpaceDE w:val="0"/>
        <w:autoSpaceDN w:val="0"/>
        <w:adjustRightInd w:val="0"/>
        <w:spacing w:after="0" w:line="240" w:lineRule="auto"/>
        <w:ind w:left="735"/>
        <w:jc w:val="both"/>
        <w:rPr>
          <w:rFonts w:ascii="Arial" w:hAnsi="Arial" w:cs="Arial"/>
          <w:color w:val="231F20"/>
          <w:sz w:val="24"/>
          <w:szCs w:val="24"/>
        </w:rPr>
      </w:pPr>
    </w:p>
    <w:p w:rsidR="00983DDB" w:rsidRPr="00983DDB" w:rsidRDefault="00983DDB" w:rsidP="00983DD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sectPr w:rsidR="00983DDB" w:rsidRPr="00983DDB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4535A"/>
    <w:multiLevelType w:val="hybridMultilevel"/>
    <w:tmpl w:val="64707C14"/>
    <w:lvl w:ilvl="0" w:tplc="3C60A460">
      <w:start w:val="1"/>
      <w:numFmt w:val="upperLetter"/>
      <w:lvlText w:val="(%1)"/>
      <w:lvlJc w:val="left"/>
      <w:pPr>
        <w:ind w:left="735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983DDB"/>
    <w:rsid w:val="005015BD"/>
    <w:rsid w:val="00983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3D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1</cp:revision>
  <dcterms:created xsi:type="dcterms:W3CDTF">2014-07-16T08:16:00Z</dcterms:created>
  <dcterms:modified xsi:type="dcterms:W3CDTF">2014-07-16T08:20:00Z</dcterms:modified>
</cp:coreProperties>
</file>